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7171" w14:textId="77777777" w:rsidR="004D36D1" w:rsidRPr="002D719A" w:rsidRDefault="002D719A" w:rsidP="002D719A">
      <w:pPr>
        <w:pStyle w:val="Heading2"/>
      </w:pPr>
      <w:r w:rsidRPr="002D719A">
        <w:t>Málsmeðferð við ráðningar í störf hjá sveitarfélögum</w:t>
      </w:r>
    </w:p>
    <w:p w14:paraId="2BD8F13D" w14:textId="77777777" w:rsidR="004D36D1" w:rsidRPr="002D719A" w:rsidRDefault="004D36D1">
      <w:pPr>
        <w:jc w:val="both"/>
        <w:rPr>
          <w:rFonts w:asciiTheme="minorHAnsi" w:hAnsiTheme="minorHAnsi" w:cstheme="minorHAnsi"/>
        </w:rPr>
      </w:pPr>
    </w:p>
    <w:p w14:paraId="3CAB8E4C" w14:textId="77777777" w:rsidR="004D36D1" w:rsidRPr="002D719A" w:rsidRDefault="002D719A">
      <w:pPr>
        <w:spacing w:before="210" w:after="210" w:line="240" w:lineRule="auto"/>
        <w:jc w:val="both"/>
        <w:textAlignment w:val="baseline"/>
        <w:rPr>
          <w:rFonts w:asciiTheme="minorHAnsi" w:eastAsia="Times New Roman" w:hAnsiTheme="minorHAnsi" w:cstheme="minorHAnsi"/>
          <w:color w:val="00003C"/>
          <w:kern w:val="0"/>
          <w:lang w:eastAsia="en-GB"/>
        </w:rPr>
      </w:pPr>
      <w:r w:rsidRPr="002D719A">
        <w:rPr>
          <w:rFonts w:asciiTheme="minorHAnsi" w:eastAsia="Times New Roman" w:hAnsiTheme="minorHAnsi" w:cstheme="minorHAnsi"/>
          <w:color w:val="00003C"/>
          <w:kern w:val="0"/>
          <w:lang w:eastAsia="en-GB"/>
        </w:rPr>
        <w:t xml:space="preserve">Ráðningar í störf hjá sveitarfélögum teljast stjórnvaldsákvarðanir í skilningi stjórnsýslulaga. Mikilvægt er því að málsmeðferð ráðninga sé ávallt í samræmi við </w:t>
      </w:r>
      <w:r w:rsidRPr="002D719A">
        <w:rPr>
          <w:rFonts w:asciiTheme="minorHAnsi" w:eastAsia="Times New Roman" w:hAnsiTheme="minorHAnsi" w:cstheme="minorHAnsi"/>
          <w:color w:val="00003C"/>
          <w:kern w:val="0"/>
          <w:lang w:eastAsia="en-GB"/>
        </w:rPr>
        <w:t>stjórnsýslulög nr. 37/1993 með síðari breytingum og vandaða stjórnsýsluhætti. Jafnframt er mikilvægt að gæta að skráningu og rekjanleika allra gagna sem byggt er á í ráðningarferlinu. Ákvæði fjölmargra annarra laga geta átt við svo sem upplýsingalög nr. 140/2912 og jafnréttislög nr. 150/2020.</w:t>
      </w:r>
    </w:p>
    <w:p w14:paraId="1C7ECAFC" w14:textId="77777777" w:rsidR="004D36D1" w:rsidRPr="002D719A" w:rsidRDefault="002D719A" w:rsidP="002D719A">
      <w:pPr>
        <w:pStyle w:val="Heading1"/>
      </w:pPr>
      <w:r w:rsidRPr="002D719A">
        <w:t>Vistun gagna í ráðningarferlinu</w:t>
      </w:r>
    </w:p>
    <w:p w14:paraId="473DE310" w14:textId="77777777" w:rsidR="004D36D1" w:rsidRPr="002D719A" w:rsidRDefault="002D719A">
      <w:pPr>
        <w:jc w:val="both"/>
        <w:rPr>
          <w:rFonts w:asciiTheme="minorHAnsi" w:hAnsiTheme="minorHAnsi" w:cstheme="minorHAnsi"/>
        </w:rPr>
      </w:pPr>
      <w:r w:rsidRPr="002D719A">
        <w:rPr>
          <w:rFonts w:asciiTheme="minorHAnsi" w:eastAsia="Times New Roman" w:hAnsiTheme="minorHAnsi" w:cstheme="minorHAnsi"/>
          <w:color w:val="00003C"/>
          <w:kern w:val="0"/>
          <w:lang w:eastAsia="en-GB"/>
        </w:rPr>
        <w:t>Veiting starfa hjá hinu opinbera er stjórnvaldsákvörðun í skilningi 2. mgr. 1. gr. stjórnsýslulaga.</w:t>
      </w:r>
      <w:r w:rsidRPr="002D719A">
        <w:rPr>
          <w:rFonts w:asciiTheme="minorHAnsi" w:hAnsiTheme="minorHAnsi" w:cstheme="minorHAnsi"/>
          <w:b/>
          <w:bCs/>
        </w:rPr>
        <w:t xml:space="preserve"> </w:t>
      </w:r>
      <w:r w:rsidRPr="002D719A">
        <w:rPr>
          <w:rFonts w:asciiTheme="minorHAnsi" w:eastAsia="Times New Roman" w:hAnsiTheme="minorHAnsi" w:cstheme="minorHAnsi"/>
          <w:color w:val="00003C"/>
          <w:kern w:val="0"/>
          <w:lang w:eastAsia="en-GB"/>
        </w:rPr>
        <w:t xml:space="preserve">Stofna þarf mál um ráðningar og geyma umsóknir, fylgiskjöl og önnur skjöl í skjalasafni svo þau séu aðgengileg í samræmi </w:t>
      </w:r>
      <w:r w:rsidRPr="002D719A">
        <w:rPr>
          <w:rFonts w:asciiTheme="minorHAnsi" w:hAnsiTheme="minorHAnsi" w:cstheme="minorHAnsi"/>
          <w:color w:val="00003C"/>
        </w:rPr>
        <w:t>við </w:t>
      </w:r>
      <w:hyperlink r:id="rId7" w:history="1">
        <w:r w:rsidRPr="002D719A">
          <w:rPr>
            <w:rStyle w:val="Hyperlink"/>
            <w:rFonts w:asciiTheme="minorHAnsi" w:hAnsiTheme="minorHAnsi" w:cstheme="minorHAnsi"/>
            <w:color w:val="4649D0"/>
          </w:rPr>
          <w:t>reglur um skráningu mála nr. 85/2018</w:t>
        </w:r>
      </w:hyperlink>
      <w:r w:rsidRPr="002D719A">
        <w:rPr>
          <w:rFonts w:asciiTheme="minorHAnsi" w:eastAsia="Times New Roman" w:hAnsiTheme="minorHAnsi" w:cstheme="minorHAnsi"/>
          <w:color w:val="00003C"/>
          <w:kern w:val="0"/>
          <w:lang w:eastAsia="en-GB"/>
        </w:rPr>
        <w:t xml:space="preserve">. Þetta á einnig við þegar utanaðkomandi aðilar sjá um </w:t>
      </w:r>
      <w:r w:rsidRPr="002D719A">
        <w:rPr>
          <w:rFonts w:asciiTheme="minorHAnsi" w:eastAsia="Times New Roman" w:hAnsiTheme="minorHAnsi" w:cstheme="minorHAnsi"/>
          <w:color w:val="00003C"/>
          <w:kern w:val="0"/>
          <w:lang w:eastAsia="en-GB"/>
        </w:rPr>
        <w:t>ráðningarferlið. Þá þarf sveitarfélagið að fá öll gögn til sín og varðveita í skjalasafni sínu.</w:t>
      </w:r>
    </w:p>
    <w:p w14:paraId="2C3CBB86" w14:textId="77777777" w:rsidR="004D36D1" w:rsidRPr="002D719A" w:rsidRDefault="002D719A" w:rsidP="002D719A">
      <w:pPr>
        <w:pStyle w:val="Heading1"/>
      </w:pPr>
      <w:r w:rsidRPr="002D719A">
        <w:t>Nafnbirting umsækjenda</w:t>
      </w:r>
    </w:p>
    <w:p w14:paraId="30F2CDEF" w14:textId="77777777" w:rsidR="004D36D1" w:rsidRPr="002D719A" w:rsidRDefault="002D719A">
      <w:pPr>
        <w:jc w:val="both"/>
        <w:rPr>
          <w:rFonts w:asciiTheme="minorHAnsi" w:eastAsia="Times New Roman" w:hAnsiTheme="minorHAnsi" w:cstheme="minorHAnsi"/>
          <w:color w:val="00003C"/>
          <w:kern w:val="0"/>
          <w:lang w:eastAsia="en-GB"/>
        </w:rPr>
      </w:pPr>
      <w:r w:rsidRPr="002D719A">
        <w:rPr>
          <w:rFonts w:asciiTheme="minorHAnsi" w:eastAsia="Times New Roman" w:hAnsiTheme="minorHAnsi" w:cstheme="minorHAnsi"/>
          <w:color w:val="00003C"/>
          <w:kern w:val="0"/>
          <w:lang w:eastAsia="en-GB"/>
        </w:rPr>
        <w:t>Sé þess óskað er skylt að veita almenningi upplýsingar um nöfn og starfsheiti umsækjenda þegar umsagnarfrestur er liðinn sjá 7. grein upplýsingalaga. Fram hafa komið sjónarmið um að gott sé að upplýsa um þessa skyldu strax í auglýsingu en aðrir kjósa að upplýsa um þetta síðar í ferlinu ef óskað er eftir upplýsingum um umsækjendur. Í þeim tilvikum er rétt að upplýsa umsækjendur um að til standi að birta nöfn allra og hafa þeir þá tækifæri á að draga sig út úr umsóknarferlinu.</w:t>
      </w:r>
    </w:p>
    <w:p w14:paraId="6DD323E3" w14:textId="77777777" w:rsidR="004D36D1" w:rsidRPr="002D719A" w:rsidRDefault="002D719A">
      <w:pPr>
        <w:spacing w:before="210" w:after="210" w:line="240" w:lineRule="auto"/>
        <w:textAlignment w:val="baseline"/>
        <w:rPr>
          <w:rFonts w:asciiTheme="minorHAnsi" w:eastAsia="Times New Roman" w:hAnsiTheme="minorHAnsi" w:cstheme="minorHAnsi"/>
          <w:color w:val="00003C"/>
          <w:kern w:val="0"/>
          <w:lang w:eastAsia="en-GB"/>
        </w:rPr>
      </w:pPr>
      <w:r w:rsidRPr="002D719A">
        <w:rPr>
          <w:rFonts w:asciiTheme="minorHAnsi" w:eastAsia="Times New Roman" w:hAnsiTheme="minorHAnsi" w:cstheme="minorHAnsi"/>
          <w:color w:val="00003C"/>
          <w:kern w:val="0"/>
          <w:lang w:eastAsia="en-GB"/>
        </w:rPr>
        <w:t>Helstu röksemdir fyrir nafnabirtingunni eru:</w:t>
      </w:r>
    </w:p>
    <w:p w14:paraId="5814A20A" w14:textId="77777777" w:rsidR="004D36D1" w:rsidRPr="002D719A" w:rsidRDefault="002D719A">
      <w:pPr>
        <w:numPr>
          <w:ilvl w:val="0"/>
          <w:numId w:val="1"/>
        </w:numPr>
        <w:spacing w:after="0" w:line="240" w:lineRule="auto"/>
        <w:textAlignment w:val="baseline"/>
        <w:rPr>
          <w:rFonts w:asciiTheme="minorHAnsi" w:eastAsia="Times New Roman" w:hAnsiTheme="minorHAnsi" w:cstheme="minorHAnsi"/>
          <w:color w:val="00003C"/>
          <w:kern w:val="0"/>
          <w:lang w:eastAsia="en-GB"/>
        </w:rPr>
      </w:pPr>
      <w:r w:rsidRPr="002D719A">
        <w:rPr>
          <w:rFonts w:asciiTheme="minorHAnsi" w:eastAsia="Times New Roman" w:hAnsiTheme="minorHAnsi" w:cstheme="minorHAnsi"/>
          <w:color w:val="00003C"/>
          <w:kern w:val="0"/>
          <w:lang w:eastAsia="en-GB"/>
        </w:rPr>
        <w:t>að auka gagnsæi</w:t>
      </w:r>
    </w:p>
    <w:p w14:paraId="2A994D19" w14:textId="77777777" w:rsidR="004D36D1" w:rsidRPr="002D719A" w:rsidRDefault="002D719A">
      <w:pPr>
        <w:numPr>
          <w:ilvl w:val="0"/>
          <w:numId w:val="1"/>
        </w:numPr>
        <w:spacing w:after="0" w:line="240" w:lineRule="auto"/>
        <w:textAlignment w:val="baseline"/>
        <w:rPr>
          <w:rFonts w:asciiTheme="minorHAnsi" w:eastAsia="Times New Roman" w:hAnsiTheme="minorHAnsi" w:cstheme="minorHAnsi"/>
          <w:color w:val="00003C"/>
          <w:kern w:val="0"/>
          <w:lang w:eastAsia="en-GB"/>
        </w:rPr>
      </w:pPr>
      <w:r w:rsidRPr="002D719A">
        <w:rPr>
          <w:rFonts w:asciiTheme="minorHAnsi" w:eastAsia="Times New Roman" w:hAnsiTheme="minorHAnsi" w:cstheme="minorHAnsi"/>
          <w:color w:val="00003C"/>
          <w:kern w:val="0"/>
          <w:lang w:eastAsia="en-GB"/>
        </w:rPr>
        <w:t>stuðla að umræðu um ráðningar í opinberar stöður</w:t>
      </w:r>
    </w:p>
    <w:p w14:paraId="562F8E66" w14:textId="77777777" w:rsidR="004D36D1" w:rsidRPr="002D719A" w:rsidRDefault="002D719A">
      <w:pPr>
        <w:numPr>
          <w:ilvl w:val="0"/>
          <w:numId w:val="1"/>
        </w:numPr>
        <w:spacing w:after="0" w:line="240" w:lineRule="auto"/>
        <w:textAlignment w:val="baseline"/>
        <w:rPr>
          <w:rFonts w:asciiTheme="minorHAnsi" w:eastAsia="Times New Roman" w:hAnsiTheme="minorHAnsi" w:cstheme="minorHAnsi"/>
          <w:color w:val="00003C"/>
          <w:kern w:val="0"/>
          <w:lang w:eastAsia="en-GB"/>
        </w:rPr>
      </w:pPr>
      <w:r w:rsidRPr="002D719A">
        <w:rPr>
          <w:rFonts w:asciiTheme="minorHAnsi" w:eastAsia="Times New Roman" w:hAnsiTheme="minorHAnsi" w:cstheme="minorHAnsi"/>
          <w:color w:val="00003C"/>
          <w:kern w:val="0"/>
          <w:lang w:eastAsia="en-GB"/>
        </w:rPr>
        <w:t>veita stjórnvöldum aðhald</w:t>
      </w:r>
    </w:p>
    <w:p w14:paraId="7976C27B" w14:textId="77777777" w:rsidR="004D36D1" w:rsidRPr="002D719A" w:rsidRDefault="002D719A">
      <w:pPr>
        <w:spacing w:before="210" w:after="210" w:line="240" w:lineRule="auto"/>
        <w:textAlignment w:val="baseline"/>
        <w:rPr>
          <w:rFonts w:asciiTheme="minorHAnsi" w:eastAsia="Times New Roman" w:hAnsiTheme="minorHAnsi" w:cstheme="minorHAnsi"/>
          <w:color w:val="00003C"/>
          <w:kern w:val="0"/>
          <w:lang w:eastAsia="en-GB"/>
        </w:rPr>
      </w:pPr>
      <w:r w:rsidRPr="002D719A">
        <w:rPr>
          <w:rFonts w:asciiTheme="minorHAnsi" w:eastAsia="Times New Roman" w:hAnsiTheme="minorHAnsi" w:cstheme="minorHAnsi"/>
          <w:color w:val="00003C"/>
          <w:kern w:val="0"/>
          <w:lang w:eastAsia="en-GB"/>
        </w:rPr>
        <w:t xml:space="preserve">Því er ekki hægt að verða við </w:t>
      </w:r>
      <w:r w:rsidRPr="002D719A">
        <w:rPr>
          <w:rFonts w:asciiTheme="minorHAnsi" w:eastAsia="Times New Roman" w:hAnsiTheme="minorHAnsi" w:cstheme="minorHAnsi"/>
          <w:color w:val="00003C"/>
          <w:kern w:val="0"/>
          <w:lang w:eastAsia="en-GB"/>
        </w:rPr>
        <w:t>óskum umsækjenda um nafnleynd hjá sveitarfélögum.</w:t>
      </w:r>
    </w:p>
    <w:p w14:paraId="5C0FEA4F" w14:textId="77777777" w:rsidR="004D36D1" w:rsidRPr="002D719A" w:rsidRDefault="002D719A" w:rsidP="002D719A">
      <w:pPr>
        <w:pStyle w:val="Heading1"/>
      </w:pPr>
      <w:r w:rsidRPr="002D719A">
        <w:t>Aðgangur að gögnum umsækjenda</w:t>
      </w:r>
    </w:p>
    <w:p w14:paraId="699CBBD4" w14:textId="77777777" w:rsidR="004D36D1" w:rsidRPr="002D719A" w:rsidRDefault="002D719A">
      <w:pPr>
        <w:jc w:val="both"/>
        <w:rPr>
          <w:rFonts w:asciiTheme="minorHAnsi" w:eastAsia="Times New Roman" w:hAnsiTheme="minorHAnsi" w:cstheme="minorHAnsi"/>
          <w:color w:val="00003C"/>
          <w:kern w:val="0"/>
          <w:lang w:eastAsia="en-GB"/>
        </w:rPr>
      </w:pPr>
      <w:r w:rsidRPr="002D719A">
        <w:rPr>
          <w:rFonts w:asciiTheme="minorHAnsi" w:eastAsia="Times New Roman" w:hAnsiTheme="minorHAnsi" w:cstheme="minorHAnsi"/>
          <w:color w:val="00003C"/>
          <w:kern w:val="0"/>
          <w:lang w:eastAsia="en-GB"/>
        </w:rPr>
        <w:t xml:space="preserve">Umsækjandi getur </w:t>
      </w:r>
      <w:proofErr w:type="spellStart"/>
      <w:r w:rsidRPr="002D719A">
        <w:rPr>
          <w:rFonts w:asciiTheme="minorHAnsi" w:eastAsia="Times New Roman" w:hAnsiTheme="minorHAnsi" w:cstheme="minorHAnsi"/>
          <w:color w:val="00003C"/>
          <w:kern w:val="0"/>
          <w:lang w:eastAsia="en-GB"/>
        </w:rPr>
        <w:t>krafist</w:t>
      </w:r>
      <w:proofErr w:type="spellEnd"/>
      <w:r w:rsidRPr="002D719A">
        <w:rPr>
          <w:rFonts w:asciiTheme="minorHAnsi" w:eastAsia="Times New Roman" w:hAnsiTheme="minorHAnsi" w:cstheme="minorHAnsi"/>
          <w:color w:val="00003C"/>
          <w:kern w:val="0"/>
          <w:lang w:eastAsia="en-GB"/>
        </w:rPr>
        <w:t xml:space="preserve"> þess að fá aðgang að öllum gögnum um sjálfan sig, sbr. 15. gr. stjórnsýslulaga. Einnig getur umsækjandi </w:t>
      </w:r>
      <w:proofErr w:type="spellStart"/>
      <w:r w:rsidRPr="002D719A">
        <w:rPr>
          <w:rFonts w:asciiTheme="minorHAnsi" w:eastAsia="Times New Roman" w:hAnsiTheme="minorHAnsi" w:cstheme="minorHAnsi"/>
          <w:color w:val="00003C"/>
          <w:kern w:val="0"/>
          <w:lang w:eastAsia="en-GB"/>
        </w:rPr>
        <w:t>krafist</w:t>
      </w:r>
      <w:proofErr w:type="spellEnd"/>
      <w:r w:rsidRPr="002D719A">
        <w:rPr>
          <w:rFonts w:asciiTheme="minorHAnsi" w:eastAsia="Times New Roman" w:hAnsiTheme="minorHAnsi" w:cstheme="minorHAnsi"/>
          <w:color w:val="00003C"/>
          <w:kern w:val="0"/>
          <w:lang w:eastAsia="en-GB"/>
        </w:rPr>
        <w:t xml:space="preserve"> þess að fá aðgang að gögnum annarra umsækjenda um sama starf.</w:t>
      </w:r>
    </w:p>
    <w:p w14:paraId="3CDE99C5" w14:textId="58364FED" w:rsidR="004D36D1" w:rsidRPr="002D719A" w:rsidRDefault="002D719A">
      <w:pPr>
        <w:jc w:val="both"/>
        <w:rPr>
          <w:rFonts w:asciiTheme="minorHAnsi" w:eastAsia="Times New Roman" w:hAnsiTheme="minorHAnsi" w:cstheme="minorHAnsi"/>
          <w:color w:val="00003C"/>
          <w:kern w:val="0"/>
          <w:lang w:eastAsia="en-GB"/>
        </w:rPr>
      </w:pPr>
      <w:r w:rsidRPr="002D719A">
        <w:rPr>
          <w:rFonts w:asciiTheme="minorHAnsi" w:eastAsia="Times New Roman" w:hAnsiTheme="minorHAnsi" w:cstheme="minorHAnsi"/>
          <w:color w:val="00003C"/>
          <w:kern w:val="0"/>
          <w:lang w:eastAsia="en-GB"/>
        </w:rPr>
        <w:t xml:space="preserve">Meta þarf í hverju tilviki fyrir sig hvort takmarka eigi þennan rétt vegna t.d. almanna- og einkahagsmuna þeirra sem í hlut eiga eða vegna þess að um vinnuskjöl sé að ræða (sjá 15., 16., og 17. gr. stjórnsýslulaga). Við matið er rétt að hafa til hliðsjónar ákvæði laga um persónuvernd og vinnslu persónuupplýsinga nr. 90/2018. Athuga þarf hvort í gögnum málsins sé að finna viðkvæmar </w:t>
      </w:r>
      <w:r w:rsidR="00D235D6" w:rsidRPr="002D719A">
        <w:rPr>
          <w:rFonts w:asciiTheme="minorHAnsi" w:eastAsia="Times New Roman" w:hAnsiTheme="minorHAnsi" w:cstheme="minorHAnsi"/>
          <w:color w:val="00003C"/>
          <w:kern w:val="0"/>
          <w:lang w:eastAsia="en-GB"/>
        </w:rPr>
        <w:t>persónuupplýsingar</w:t>
      </w:r>
      <w:r w:rsidRPr="002D719A">
        <w:rPr>
          <w:rFonts w:asciiTheme="minorHAnsi" w:eastAsia="Times New Roman" w:hAnsiTheme="minorHAnsi" w:cstheme="minorHAnsi"/>
          <w:color w:val="00003C"/>
          <w:kern w:val="0"/>
          <w:lang w:eastAsia="en-GB"/>
        </w:rPr>
        <w:t xml:space="preserve">, almennar </w:t>
      </w:r>
      <w:r w:rsidR="00D235D6" w:rsidRPr="002D719A">
        <w:rPr>
          <w:rFonts w:asciiTheme="minorHAnsi" w:eastAsia="Times New Roman" w:hAnsiTheme="minorHAnsi" w:cstheme="minorHAnsi"/>
          <w:color w:val="00003C"/>
          <w:kern w:val="0"/>
          <w:lang w:eastAsia="en-GB"/>
        </w:rPr>
        <w:t>persónuupplýsingar</w:t>
      </w:r>
      <w:r w:rsidRPr="002D719A">
        <w:rPr>
          <w:rFonts w:asciiTheme="minorHAnsi" w:eastAsia="Times New Roman" w:hAnsiTheme="minorHAnsi" w:cstheme="minorHAnsi"/>
          <w:color w:val="00003C"/>
          <w:kern w:val="0"/>
          <w:lang w:eastAsia="en-GB"/>
        </w:rPr>
        <w:t xml:space="preserve"> eða upplýsingar um einkahagi umsækjenda sem ekki höfðu þýðingu við úrlausn málsins.</w:t>
      </w:r>
    </w:p>
    <w:p w14:paraId="42BDE7AB" w14:textId="77777777" w:rsidR="004D36D1" w:rsidRPr="002D719A" w:rsidRDefault="002D719A">
      <w:pPr>
        <w:pStyle w:val="1wc4apv0"/>
        <w:spacing w:before="210" w:after="210"/>
        <w:jc w:val="both"/>
        <w:textAlignment w:val="baseline"/>
        <w:rPr>
          <w:rFonts w:asciiTheme="minorHAnsi" w:hAnsiTheme="minorHAnsi" w:cstheme="minorHAnsi"/>
          <w:b/>
          <w:bCs/>
          <w:color w:val="00003C"/>
          <w:sz w:val="22"/>
          <w:szCs w:val="22"/>
          <w:lang w:val="is-IS"/>
        </w:rPr>
      </w:pPr>
      <w:r w:rsidRPr="002D719A">
        <w:rPr>
          <w:rFonts w:asciiTheme="minorHAnsi" w:hAnsiTheme="minorHAnsi" w:cstheme="minorHAnsi"/>
          <w:b/>
          <w:bCs/>
          <w:color w:val="00003C"/>
          <w:sz w:val="22"/>
          <w:szCs w:val="22"/>
          <w:lang w:val="is-IS"/>
        </w:rPr>
        <w:t>Til einkahagsmuna teljast:</w:t>
      </w:r>
    </w:p>
    <w:p w14:paraId="0A6D6171" w14:textId="77777777" w:rsidR="004D36D1" w:rsidRPr="002D719A" w:rsidRDefault="002D719A">
      <w:pPr>
        <w:pStyle w:val="1wc4apv0"/>
        <w:numPr>
          <w:ilvl w:val="0"/>
          <w:numId w:val="2"/>
        </w:numPr>
        <w:spacing w:before="0" w:after="0"/>
        <w:textAlignment w:val="baseline"/>
        <w:rPr>
          <w:rFonts w:asciiTheme="minorHAnsi" w:hAnsiTheme="minorHAnsi" w:cstheme="minorHAnsi"/>
          <w:color w:val="00003C"/>
          <w:sz w:val="22"/>
          <w:szCs w:val="22"/>
          <w:lang w:val="is-IS"/>
        </w:rPr>
      </w:pPr>
      <w:r w:rsidRPr="002D719A">
        <w:rPr>
          <w:rFonts w:asciiTheme="minorHAnsi" w:hAnsiTheme="minorHAnsi" w:cstheme="minorHAnsi"/>
          <w:color w:val="00003C"/>
          <w:sz w:val="22"/>
          <w:szCs w:val="22"/>
          <w:lang w:val="is-IS"/>
        </w:rPr>
        <w:t>ljósmyndir og upplýsingar um fjölskylduhagi viðkomandi</w:t>
      </w:r>
    </w:p>
    <w:p w14:paraId="213FE91F" w14:textId="77777777" w:rsidR="004D36D1" w:rsidRPr="002D719A" w:rsidRDefault="002D719A">
      <w:pPr>
        <w:pStyle w:val="1wc4apv0"/>
        <w:numPr>
          <w:ilvl w:val="0"/>
          <w:numId w:val="2"/>
        </w:numPr>
        <w:spacing w:before="0" w:after="0"/>
        <w:textAlignment w:val="baseline"/>
        <w:rPr>
          <w:rFonts w:asciiTheme="minorHAnsi" w:hAnsiTheme="minorHAnsi" w:cstheme="minorHAnsi"/>
          <w:color w:val="00003C"/>
          <w:sz w:val="22"/>
          <w:szCs w:val="22"/>
          <w:lang w:val="is-IS"/>
        </w:rPr>
      </w:pPr>
      <w:r w:rsidRPr="002D719A">
        <w:rPr>
          <w:rFonts w:asciiTheme="minorHAnsi" w:hAnsiTheme="minorHAnsi" w:cstheme="minorHAnsi"/>
          <w:color w:val="00003C"/>
          <w:sz w:val="22"/>
          <w:szCs w:val="22"/>
          <w:lang w:val="is-IS"/>
        </w:rPr>
        <w:t>kennitala</w:t>
      </w:r>
    </w:p>
    <w:p w14:paraId="2BDEFF2A" w14:textId="77777777" w:rsidR="004D36D1" w:rsidRPr="002D719A" w:rsidRDefault="002D719A">
      <w:pPr>
        <w:pStyle w:val="1wc4apv0"/>
        <w:spacing w:before="210" w:after="210"/>
        <w:jc w:val="both"/>
        <w:textAlignment w:val="baseline"/>
        <w:rPr>
          <w:rFonts w:asciiTheme="minorHAnsi" w:hAnsiTheme="minorHAnsi" w:cstheme="minorHAnsi"/>
          <w:b/>
          <w:bCs/>
          <w:color w:val="00003C"/>
          <w:sz w:val="22"/>
          <w:szCs w:val="22"/>
          <w:lang w:val="is-IS"/>
        </w:rPr>
      </w:pPr>
      <w:r w:rsidRPr="002D719A">
        <w:rPr>
          <w:rFonts w:asciiTheme="minorHAnsi" w:hAnsiTheme="minorHAnsi" w:cstheme="minorHAnsi"/>
          <w:b/>
          <w:bCs/>
          <w:color w:val="00003C"/>
          <w:sz w:val="22"/>
          <w:szCs w:val="22"/>
          <w:lang w:val="is-IS"/>
        </w:rPr>
        <w:t>Taka þarf sérstaka afstöðu til eftirtalinna atriða sem kunna að teljast til einkahagsmuna:</w:t>
      </w:r>
    </w:p>
    <w:p w14:paraId="24EFAAE0" w14:textId="77777777" w:rsidR="004D36D1" w:rsidRPr="002D719A" w:rsidRDefault="002D719A">
      <w:pPr>
        <w:pStyle w:val="1wc4apv0"/>
        <w:numPr>
          <w:ilvl w:val="0"/>
          <w:numId w:val="3"/>
        </w:numPr>
        <w:spacing w:before="0" w:after="0"/>
        <w:textAlignment w:val="baseline"/>
        <w:rPr>
          <w:rFonts w:asciiTheme="minorHAnsi" w:hAnsiTheme="minorHAnsi" w:cstheme="minorHAnsi"/>
          <w:color w:val="00003C"/>
          <w:sz w:val="22"/>
          <w:szCs w:val="22"/>
          <w:lang w:val="is-IS"/>
        </w:rPr>
      </w:pPr>
      <w:r w:rsidRPr="002D719A">
        <w:rPr>
          <w:rFonts w:asciiTheme="minorHAnsi" w:hAnsiTheme="minorHAnsi" w:cstheme="minorHAnsi"/>
          <w:color w:val="00003C"/>
          <w:sz w:val="22"/>
          <w:szCs w:val="22"/>
          <w:lang w:val="is-IS"/>
        </w:rPr>
        <w:t>mat umsagnaraðila á starfshæfni annarra umsækjenda</w:t>
      </w:r>
    </w:p>
    <w:p w14:paraId="197B2B32" w14:textId="77777777" w:rsidR="004D36D1" w:rsidRPr="002D719A" w:rsidRDefault="002D719A">
      <w:pPr>
        <w:pStyle w:val="1wc4apv0"/>
        <w:numPr>
          <w:ilvl w:val="0"/>
          <w:numId w:val="3"/>
        </w:numPr>
        <w:spacing w:before="0" w:after="0"/>
        <w:textAlignment w:val="baseline"/>
        <w:rPr>
          <w:rFonts w:asciiTheme="minorHAnsi" w:hAnsiTheme="minorHAnsi" w:cstheme="minorHAnsi"/>
          <w:color w:val="00003C"/>
          <w:sz w:val="22"/>
          <w:szCs w:val="22"/>
          <w:lang w:val="is-IS"/>
        </w:rPr>
      </w:pPr>
      <w:r w:rsidRPr="002D719A">
        <w:rPr>
          <w:rFonts w:asciiTheme="minorHAnsi" w:hAnsiTheme="minorHAnsi" w:cstheme="minorHAnsi"/>
          <w:color w:val="00003C"/>
          <w:sz w:val="22"/>
          <w:szCs w:val="22"/>
          <w:lang w:val="is-IS"/>
        </w:rPr>
        <w:lastRenderedPageBreak/>
        <w:t>mat á frammistöðu umsækjanda í starfsviðtali</w:t>
      </w:r>
    </w:p>
    <w:p w14:paraId="2534CC25" w14:textId="77777777" w:rsidR="004D36D1" w:rsidRPr="002D719A" w:rsidRDefault="002D719A">
      <w:pPr>
        <w:pStyle w:val="1wc4apv0"/>
        <w:spacing w:before="210" w:after="210"/>
        <w:jc w:val="both"/>
        <w:textAlignment w:val="baseline"/>
        <w:rPr>
          <w:rFonts w:asciiTheme="minorHAnsi" w:hAnsiTheme="minorHAnsi" w:cstheme="minorHAnsi"/>
          <w:color w:val="00003C"/>
          <w:sz w:val="22"/>
          <w:szCs w:val="22"/>
          <w:lang w:val="is-IS"/>
        </w:rPr>
      </w:pPr>
      <w:r w:rsidRPr="002D719A">
        <w:rPr>
          <w:rFonts w:asciiTheme="minorHAnsi" w:hAnsiTheme="minorHAnsi" w:cstheme="minorHAnsi"/>
          <w:color w:val="00003C"/>
          <w:sz w:val="22"/>
          <w:szCs w:val="22"/>
          <w:lang w:val="is-IS"/>
        </w:rPr>
        <w:t>Ofangreind upptalning er ekki tæmandi.</w:t>
      </w:r>
    </w:p>
    <w:p w14:paraId="75887D02" w14:textId="77777777" w:rsidR="004D36D1" w:rsidRPr="002D719A" w:rsidRDefault="002D719A" w:rsidP="002D719A">
      <w:pPr>
        <w:pStyle w:val="Heading1"/>
      </w:pPr>
      <w:r w:rsidRPr="002D719A">
        <w:t>Vinnuskjöl</w:t>
      </w:r>
    </w:p>
    <w:p w14:paraId="1030A034" w14:textId="77777777" w:rsidR="004D36D1" w:rsidRPr="002D719A" w:rsidRDefault="002D719A">
      <w:pPr>
        <w:pStyle w:val="1wc4apv0"/>
        <w:spacing w:before="210" w:after="210"/>
        <w:jc w:val="both"/>
        <w:textAlignment w:val="baseline"/>
        <w:rPr>
          <w:rFonts w:asciiTheme="minorHAnsi" w:hAnsiTheme="minorHAnsi" w:cstheme="minorHAnsi"/>
          <w:color w:val="00003C"/>
          <w:sz w:val="22"/>
          <w:szCs w:val="22"/>
          <w:lang w:val="is-IS"/>
        </w:rPr>
      </w:pPr>
      <w:r w:rsidRPr="002D719A">
        <w:rPr>
          <w:rFonts w:asciiTheme="minorHAnsi" w:hAnsiTheme="minorHAnsi" w:cstheme="minorHAnsi"/>
          <w:color w:val="00003C"/>
          <w:sz w:val="22"/>
          <w:szCs w:val="22"/>
          <w:lang w:val="is-IS"/>
        </w:rPr>
        <w:t xml:space="preserve">Vinnuskjöl geta verið </w:t>
      </w:r>
      <w:proofErr w:type="spellStart"/>
      <w:r w:rsidRPr="002D719A">
        <w:rPr>
          <w:rFonts w:asciiTheme="minorHAnsi" w:hAnsiTheme="minorHAnsi" w:cstheme="minorHAnsi"/>
          <w:color w:val="00003C"/>
          <w:sz w:val="22"/>
          <w:szCs w:val="22"/>
          <w:lang w:val="is-IS"/>
        </w:rPr>
        <w:t>undanþegin</w:t>
      </w:r>
      <w:proofErr w:type="spellEnd"/>
      <w:r w:rsidRPr="002D719A">
        <w:rPr>
          <w:rFonts w:asciiTheme="minorHAnsi" w:hAnsiTheme="minorHAnsi" w:cstheme="minorHAnsi"/>
          <w:color w:val="00003C"/>
          <w:sz w:val="22"/>
          <w:szCs w:val="22"/>
          <w:lang w:val="is-IS"/>
        </w:rPr>
        <w:t xml:space="preserve"> aðgangi, einkum þar sem er að finna vangaveltur eða hugleiðingar sem að lokum var ekki byggt á við úrlausn máls. Hins </w:t>
      </w:r>
      <w:r w:rsidRPr="002D719A">
        <w:rPr>
          <w:rFonts w:asciiTheme="minorHAnsi" w:hAnsiTheme="minorHAnsi" w:cstheme="minorHAnsi"/>
          <w:color w:val="00003C"/>
          <w:sz w:val="22"/>
          <w:szCs w:val="22"/>
          <w:lang w:val="is-IS"/>
        </w:rPr>
        <w:t xml:space="preserve">vegar á aðili máls rétt á aðgangi að </w:t>
      </w:r>
      <w:proofErr w:type="spellStart"/>
      <w:r w:rsidRPr="002D719A">
        <w:rPr>
          <w:rFonts w:asciiTheme="minorHAnsi" w:hAnsiTheme="minorHAnsi" w:cstheme="minorHAnsi"/>
          <w:color w:val="00003C"/>
          <w:sz w:val="22"/>
          <w:szCs w:val="22"/>
          <w:lang w:val="is-IS"/>
        </w:rPr>
        <w:t>vinnuskjölum</w:t>
      </w:r>
      <w:proofErr w:type="spellEnd"/>
      <w:r w:rsidRPr="002D719A">
        <w:rPr>
          <w:rFonts w:asciiTheme="minorHAnsi" w:hAnsiTheme="minorHAnsi" w:cstheme="minorHAnsi"/>
          <w:color w:val="00003C"/>
          <w:sz w:val="22"/>
          <w:szCs w:val="22"/>
          <w:lang w:val="is-IS"/>
        </w:rPr>
        <w:t xml:space="preserve"> hafi þau að geyma endanlega ákvörðun um afgreiðslu máls.</w:t>
      </w:r>
    </w:p>
    <w:p w14:paraId="347EA2B7" w14:textId="77777777" w:rsidR="004D36D1" w:rsidRPr="002D719A" w:rsidRDefault="002D719A">
      <w:pPr>
        <w:pStyle w:val="1wc4apv0"/>
        <w:spacing w:before="210" w:after="210"/>
        <w:jc w:val="both"/>
        <w:textAlignment w:val="baseline"/>
        <w:rPr>
          <w:rFonts w:asciiTheme="minorHAnsi" w:hAnsiTheme="minorHAnsi" w:cstheme="minorHAnsi"/>
          <w:color w:val="00003C"/>
          <w:sz w:val="22"/>
          <w:szCs w:val="22"/>
          <w:lang w:val="is-IS"/>
        </w:rPr>
      </w:pPr>
      <w:r w:rsidRPr="002D719A">
        <w:rPr>
          <w:rFonts w:asciiTheme="minorHAnsi" w:hAnsiTheme="minorHAnsi" w:cstheme="minorHAnsi"/>
          <w:color w:val="00003C"/>
          <w:sz w:val="22"/>
          <w:szCs w:val="22"/>
          <w:lang w:val="is-IS"/>
        </w:rPr>
        <w:t xml:space="preserve">Skjöl eða gögn þar sem lagt er mat á umsækjendur, t.d. þar sem þeim er gefin einkunn og hafa að geyma forsendur fyrir ákvörðun í málinu teljast almennt ekki til vinnuskjala. Sama á við um mat utanaðkomandi aðila sem inniheldur </w:t>
      </w:r>
      <w:proofErr w:type="spellStart"/>
      <w:r w:rsidRPr="002D719A">
        <w:rPr>
          <w:rFonts w:asciiTheme="minorHAnsi" w:hAnsiTheme="minorHAnsi" w:cstheme="minorHAnsi"/>
          <w:color w:val="00003C"/>
          <w:sz w:val="22"/>
          <w:szCs w:val="22"/>
          <w:lang w:val="is-IS"/>
        </w:rPr>
        <w:t>rökstuðning</w:t>
      </w:r>
      <w:proofErr w:type="spellEnd"/>
      <w:r w:rsidRPr="002D719A">
        <w:rPr>
          <w:rFonts w:asciiTheme="minorHAnsi" w:hAnsiTheme="minorHAnsi" w:cstheme="minorHAnsi"/>
          <w:color w:val="00003C"/>
          <w:sz w:val="22"/>
          <w:szCs w:val="22"/>
          <w:lang w:val="is-IS"/>
        </w:rPr>
        <w:t xml:space="preserve"> eða forsendur fyrir tillögum þeirra til ráðningaraðila um umsækjendur. Þegar stjórnsýslulögunum sleppir gilda upplýsingalög</w:t>
      </w:r>
    </w:p>
    <w:p w14:paraId="79350651" w14:textId="77777777" w:rsidR="004D36D1" w:rsidRPr="002D719A" w:rsidRDefault="002D719A">
      <w:pPr>
        <w:pStyle w:val="1wc4apv0"/>
        <w:spacing w:before="210" w:after="210"/>
        <w:jc w:val="both"/>
        <w:textAlignment w:val="baseline"/>
        <w:rPr>
          <w:rFonts w:asciiTheme="minorHAnsi" w:hAnsiTheme="minorHAnsi" w:cstheme="minorHAnsi"/>
          <w:sz w:val="22"/>
          <w:szCs w:val="22"/>
        </w:rPr>
      </w:pPr>
      <w:proofErr w:type="spellStart"/>
      <w:r w:rsidRPr="002D719A">
        <w:rPr>
          <w:rFonts w:asciiTheme="minorHAnsi" w:hAnsiTheme="minorHAnsi" w:cstheme="minorHAnsi"/>
          <w:color w:val="00003C"/>
          <w:sz w:val="22"/>
          <w:szCs w:val="22"/>
        </w:rPr>
        <w:t>Sjá</w:t>
      </w:r>
      <w:proofErr w:type="spellEnd"/>
      <w:r w:rsidRPr="002D719A">
        <w:rPr>
          <w:rFonts w:asciiTheme="minorHAnsi" w:hAnsiTheme="minorHAnsi" w:cstheme="minorHAnsi"/>
          <w:color w:val="00003C"/>
          <w:sz w:val="22"/>
          <w:szCs w:val="22"/>
        </w:rPr>
        <w:t xml:space="preserve"> </w:t>
      </w:r>
      <w:proofErr w:type="spellStart"/>
      <w:r w:rsidRPr="002D719A">
        <w:rPr>
          <w:rFonts w:asciiTheme="minorHAnsi" w:hAnsiTheme="minorHAnsi" w:cstheme="minorHAnsi"/>
          <w:color w:val="00003C"/>
          <w:sz w:val="22"/>
          <w:szCs w:val="22"/>
        </w:rPr>
        <w:t>nánar</w:t>
      </w:r>
      <w:proofErr w:type="spellEnd"/>
      <w:r w:rsidRPr="002D719A">
        <w:rPr>
          <w:rFonts w:asciiTheme="minorHAnsi" w:hAnsiTheme="minorHAnsi" w:cstheme="minorHAnsi"/>
          <w:color w:val="00003C"/>
          <w:sz w:val="22"/>
          <w:szCs w:val="22"/>
        </w:rPr>
        <w:t xml:space="preserve"> </w:t>
      </w:r>
      <w:proofErr w:type="spellStart"/>
      <w:r w:rsidRPr="002D719A">
        <w:rPr>
          <w:rFonts w:asciiTheme="minorHAnsi" w:hAnsiTheme="minorHAnsi" w:cstheme="minorHAnsi"/>
          <w:color w:val="00003C"/>
          <w:sz w:val="22"/>
          <w:szCs w:val="22"/>
        </w:rPr>
        <w:t>leiðbeinandi</w:t>
      </w:r>
      <w:proofErr w:type="spellEnd"/>
      <w:r w:rsidRPr="002D719A">
        <w:rPr>
          <w:rFonts w:asciiTheme="minorHAnsi" w:hAnsiTheme="minorHAnsi" w:cstheme="minorHAnsi"/>
          <w:color w:val="00003C"/>
          <w:sz w:val="22"/>
          <w:szCs w:val="22"/>
        </w:rPr>
        <w:t> </w:t>
      </w:r>
      <w:proofErr w:type="spellStart"/>
      <w:r w:rsidRPr="002D719A">
        <w:rPr>
          <w:rFonts w:asciiTheme="minorHAnsi" w:hAnsiTheme="minorHAnsi" w:cstheme="minorHAnsi"/>
          <w:sz w:val="22"/>
          <w:szCs w:val="22"/>
        </w:rPr>
        <w:fldChar w:fldCharType="begin"/>
      </w:r>
      <w:r w:rsidRPr="002D719A">
        <w:rPr>
          <w:rFonts w:asciiTheme="minorHAnsi" w:hAnsiTheme="minorHAnsi" w:cstheme="minorHAnsi"/>
          <w:sz w:val="22"/>
          <w:szCs w:val="22"/>
        </w:rPr>
        <w:instrText xml:space="preserve"> HYPERLINK  "https://www.umbodsmadur.is/alit-og-bref/mal/nr/8567/skoda/mal/" </w:instrText>
      </w:r>
      <w:r w:rsidRPr="002D719A">
        <w:rPr>
          <w:rFonts w:asciiTheme="minorHAnsi" w:hAnsiTheme="minorHAnsi" w:cstheme="minorHAnsi"/>
          <w:sz w:val="22"/>
          <w:szCs w:val="22"/>
        </w:rPr>
      </w:r>
      <w:r w:rsidRPr="002D719A">
        <w:rPr>
          <w:rFonts w:asciiTheme="minorHAnsi" w:hAnsiTheme="minorHAnsi" w:cstheme="minorHAnsi"/>
          <w:sz w:val="22"/>
          <w:szCs w:val="22"/>
        </w:rPr>
        <w:fldChar w:fldCharType="separate"/>
      </w:r>
      <w:r w:rsidRPr="002D719A">
        <w:rPr>
          <w:rStyle w:val="Hyperlink"/>
          <w:rFonts w:asciiTheme="minorHAnsi" w:hAnsiTheme="minorHAnsi" w:cstheme="minorHAnsi"/>
          <w:color w:val="0061FF"/>
          <w:sz w:val="22"/>
          <w:szCs w:val="22"/>
        </w:rPr>
        <w:t>álit</w:t>
      </w:r>
      <w:proofErr w:type="spellEnd"/>
      <w:r w:rsidRPr="002D719A">
        <w:rPr>
          <w:rStyle w:val="Hyperlink"/>
          <w:rFonts w:asciiTheme="minorHAnsi" w:hAnsiTheme="minorHAnsi" w:cstheme="minorHAnsi"/>
          <w:color w:val="0061FF"/>
          <w:sz w:val="22"/>
          <w:szCs w:val="22"/>
        </w:rPr>
        <w:t xml:space="preserve"> </w:t>
      </w:r>
      <w:proofErr w:type="spellStart"/>
      <w:r w:rsidRPr="002D719A">
        <w:rPr>
          <w:rStyle w:val="Hyperlink"/>
          <w:rFonts w:asciiTheme="minorHAnsi" w:hAnsiTheme="minorHAnsi" w:cstheme="minorHAnsi"/>
          <w:color w:val="0061FF"/>
          <w:sz w:val="22"/>
          <w:szCs w:val="22"/>
        </w:rPr>
        <w:t>umboðsmanns</w:t>
      </w:r>
      <w:proofErr w:type="spellEnd"/>
      <w:r w:rsidRPr="002D719A">
        <w:rPr>
          <w:rStyle w:val="Hyperlink"/>
          <w:rFonts w:asciiTheme="minorHAnsi" w:hAnsiTheme="minorHAnsi" w:cstheme="minorHAnsi"/>
          <w:color w:val="0061FF"/>
          <w:sz w:val="22"/>
          <w:szCs w:val="22"/>
        </w:rPr>
        <w:t xml:space="preserve"> </w:t>
      </w:r>
      <w:proofErr w:type="spellStart"/>
      <w:r w:rsidRPr="002D719A">
        <w:rPr>
          <w:rStyle w:val="Hyperlink"/>
          <w:rFonts w:asciiTheme="minorHAnsi" w:hAnsiTheme="minorHAnsi" w:cstheme="minorHAnsi"/>
          <w:color w:val="0061FF"/>
          <w:sz w:val="22"/>
          <w:szCs w:val="22"/>
        </w:rPr>
        <w:t>Alþingis</w:t>
      </w:r>
      <w:proofErr w:type="spellEnd"/>
      <w:r w:rsidRPr="002D719A">
        <w:rPr>
          <w:rStyle w:val="Hyperlink"/>
          <w:rFonts w:asciiTheme="minorHAnsi" w:hAnsiTheme="minorHAnsi" w:cstheme="minorHAnsi"/>
          <w:color w:val="0061FF"/>
          <w:sz w:val="22"/>
          <w:szCs w:val="22"/>
        </w:rPr>
        <w:t xml:space="preserve"> nr 10886/2020.</w:t>
      </w:r>
      <w:r w:rsidRPr="002D719A">
        <w:rPr>
          <w:rStyle w:val="Hyperlink"/>
          <w:rFonts w:asciiTheme="minorHAnsi" w:hAnsiTheme="minorHAnsi" w:cstheme="minorHAnsi"/>
          <w:color w:val="0061FF"/>
          <w:sz w:val="22"/>
          <w:szCs w:val="22"/>
        </w:rPr>
        <w:fldChar w:fldCharType="end"/>
      </w:r>
    </w:p>
    <w:p w14:paraId="7723EF45" w14:textId="77777777" w:rsidR="004D36D1" w:rsidRPr="002D719A" w:rsidRDefault="002D719A">
      <w:pPr>
        <w:pStyle w:val="1wc4apv0"/>
        <w:spacing w:before="210" w:after="210"/>
        <w:jc w:val="both"/>
        <w:textAlignment w:val="baseline"/>
        <w:rPr>
          <w:rFonts w:asciiTheme="minorHAnsi" w:hAnsiTheme="minorHAnsi" w:cstheme="minorHAnsi"/>
          <w:color w:val="00003C"/>
          <w:sz w:val="22"/>
          <w:szCs w:val="22"/>
          <w:lang w:val="is-IS"/>
        </w:rPr>
      </w:pPr>
      <w:r w:rsidRPr="002D719A">
        <w:rPr>
          <w:rFonts w:asciiTheme="minorHAnsi" w:hAnsiTheme="minorHAnsi" w:cstheme="minorHAnsi"/>
          <w:color w:val="00003C"/>
          <w:sz w:val="22"/>
          <w:szCs w:val="22"/>
          <w:lang w:val="is-IS"/>
        </w:rPr>
        <w:t>Ofangreindar leiðbeiningar eru í fullu samræmi við leiðbeiningar ríkisins um sama mál. Frekari leiðbeiningar er að finna á mannauðstorgi ríkisins á neðangreindri slóð:</w:t>
      </w:r>
    </w:p>
    <w:p w14:paraId="389F16B7" w14:textId="77777777" w:rsidR="004D36D1" w:rsidRPr="002D719A" w:rsidRDefault="002D719A">
      <w:pPr>
        <w:pStyle w:val="1wc4apv0"/>
        <w:spacing w:before="210" w:after="210"/>
        <w:jc w:val="both"/>
        <w:textAlignment w:val="baseline"/>
        <w:rPr>
          <w:rFonts w:asciiTheme="minorHAnsi" w:hAnsiTheme="minorHAnsi" w:cstheme="minorHAnsi"/>
          <w:sz w:val="22"/>
          <w:szCs w:val="22"/>
        </w:rPr>
      </w:pPr>
      <w:hyperlink r:id="rId8" w:history="1">
        <w:r w:rsidRPr="002D719A">
          <w:rPr>
            <w:rStyle w:val="Hyperlink"/>
            <w:rFonts w:asciiTheme="minorHAnsi" w:hAnsiTheme="minorHAnsi" w:cstheme="minorHAnsi"/>
            <w:sz w:val="22"/>
            <w:szCs w:val="22"/>
            <w:lang w:val="is-IS"/>
          </w:rPr>
          <w:t>https://island.is/adstod/mannaudstorg/radningar/malsmedferd-og-medferd-gagna</w:t>
        </w:r>
      </w:hyperlink>
    </w:p>
    <w:p w14:paraId="4A374392" w14:textId="77777777" w:rsidR="004D36D1" w:rsidRPr="002D719A" w:rsidRDefault="004D36D1">
      <w:pPr>
        <w:pStyle w:val="1wc4apv0"/>
        <w:spacing w:before="210" w:after="210"/>
        <w:jc w:val="both"/>
        <w:textAlignment w:val="baseline"/>
        <w:rPr>
          <w:rFonts w:asciiTheme="minorHAnsi" w:hAnsiTheme="minorHAnsi" w:cstheme="minorHAnsi"/>
          <w:color w:val="00003C"/>
          <w:sz w:val="22"/>
          <w:szCs w:val="22"/>
          <w:lang w:val="is-IS"/>
        </w:rPr>
      </w:pPr>
    </w:p>
    <w:sectPr w:rsidR="004D36D1" w:rsidRPr="002D719A">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CFEF" w14:textId="77777777" w:rsidR="002D719A" w:rsidRDefault="002D719A">
      <w:pPr>
        <w:spacing w:after="0" w:line="240" w:lineRule="auto"/>
      </w:pPr>
      <w:r>
        <w:separator/>
      </w:r>
    </w:p>
  </w:endnote>
  <w:endnote w:type="continuationSeparator" w:id="0">
    <w:p w14:paraId="4937BECB" w14:textId="77777777" w:rsidR="002D719A" w:rsidRDefault="002D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10C1" w14:textId="77777777" w:rsidR="002D719A" w:rsidRDefault="002D719A">
      <w:pPr>
        <w:spacing w:after="0" w:line="240" w:lineRule="auto"/>
      </w:pPr>
      <w:r>
        <w:rPr>
          <w:color w:val="000000"/>
        </w:rPr>
        <w:separator/>
      </w:r>
    </w:p>
  </w:footnote>
  <w:footnote w:type="continuationSeparator" w:id="0">
    <w:p w14:paraId="7D3C7F2C" w14:textId="77777777" w:rsidR="002D719A" w:rsidRDefault="002D7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79E"/>
    <w:multiLevelType w:val="multilevel"/>
    <w:tmpl w:val="D5F4A9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A440A06"/>
    <w:multiLevelType w:val="multilevel"/>
    <w:tmpl w:val="4F20D58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77096617"/>
    <w:multiLevelType w:val="multilevel"/>
    <w:tmpl w:val="A1D053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850482250">
    <w:abstractNumId w:val="2"/>
  </w:num>
  <w:num w:numId="2" w16cid:durableId="673145513">
    <w:abstractNumId w:val="0"/>
  </w:num>
  <w:num w:numId="3" w16cid:durableId="194557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D36D1"/>
    <w:rsid w:val="000C6903"/>
    <w:rsid w:val="002D719A"/>
    <w:rsid w:val="004D36D1"/>
    <w:rsid w:val="009F1D0C"/>
    <w:rsid w:val="00D235D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9C0D"/>
  <w15:docId w15:val="{98CD27B1-BAF2-4B68-AC63-0CA54944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is-IS"/>
    </w:rPr>
  </w:style>
  <w:style w:type="paragraph" w:styleId="Heading1">
    <w:name w:val="heading 1"/>
    <w:basedOn w:val="Normal"/>
    <w:next w:val="Normal"/>
    <w:link w:val="Heading1Char"/>
    <w:uiPriority w:val="9"/>
    <w:qFormat/>
    <w:rsid w:val="002D71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uiPriority w:val="9"/>
    <w:unhideWhenUsed/>
    <w:qFormat/>
    <w:pPr>
      <w:spacing w:before="100" w:after="100" w:line="240" w:lineRule="auto"/>
      <w:outlineLvl w:val="1"/>
    </w:pPr>
    <w:rPr>
      <w:rFonts w:ascii="Times New Roman" w:eastAsia="Times New Roman" w:hAnsi="Times New Roman"/>
      <w:b/>
      <w:bCs/>
      <w:kern w:val="0"/>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wc4apv0">
    <w:name w:val="_1wc4apv0"/>
    <w:basedOn w:val="Normal"/>
    <w:pPr>
      <w:spacing w:before="100" w:after="100" w:line="240" w:lineRule="auto"/>
    </w:pPr>
    <w:rPr>
      <w:rFonts w:ascii="Times New Roman" w:eastAsia="Times New Roman" w:hAnsi="Times New Roman"/>
      <w:kern w:val="0"/>
      <w:sz w:val="24"/>
      <w:szCs w:val="24"/>
      <w:lang w:val="en-GB" w:eastAsia="en-GB"/>
    </w:rPr>
  </w:style>
  <w:style w:type="character" w:customStyle="1" w:styleId="Heading2Char">
    <w:name w:val="Heading 2 Char"/>
    <w:basedOn w:val="DefaultParagraphFont"/>
    <w:rPr>
      <w:rFonts w:ascii="Times New Roman" w:eastAsia="Times New Roman" w:hAnsi="Times New Roman" w:cs="Times New Roman"/>
      <w:b/>
      <w:bCs/>
      <w:kern w:val="0"/>
      <w:sz w:val="36"/>
      <w:szCs w:val="36"/>
      <w:lang w:eastAsia="en-GB"/>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link w:val="Heading1"/>
    <w:uiPriority w:val="9"/>
    <w:rsid w:val="002D719A"/>
    <w:rPr>
      <w:rFonts w:asciiTheme="majorHAnsi" w:eastAsiaTheme="majorEastAsia" w:hAnsiTheme="majorHAnsi" w:cstheme="majorBidi"/>
      <w:color w:val="2F5496" w:themeColor="accent1" w:themeShade="BF"/>
      <w:sz w:val="32"/>
      <w:szCs w:val="3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sland.is/adstod/mannaudstorg/radningar/malsmedferd-og-medferd-gagna" TargetMode="External"/><Relationship Id="rId3" Type="http://schemas.openxmlformats.org/officeDocument/2006/relationships/settings" Target="settings.xml"/><Relationship Id="rId7" Type="http://schemas.openxmlformats.org/officeDocument/2006/relationships/hyperlink" Target="https://skjalasafn.is/files/docs/Reglur_B_nr_85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Ellisif Tinna Víðisdóttir</dc:creator>
  <dc:description/>
  <cp:lastModifiedBy>Ingibjörg Hinriksdóttir</cp:lastModifiedBy>
  <cp:revision>5</cp:revision>
  <dcterms:created xsi:type="dcterms:W3CDTF">2023-11-01T14:59:00Z</dcterms:created>
  <dcterms:modified xsi:type="dcterms:W3CDTF">2023-11-01T15:02:00Z</dcterms:modified>
</cp:coreProperties>
</file>